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B050"/>
  <w:body>
    <w:p w:rsidR="002A75EB" w:rsidRPr="00145D85" w:rsidRDefault="0009696C" w:rsidP="00145D85">
      <w:pPr>
        <w:ind w:firstLineChars="200" w:firstLine="723"/>
        <w:jc w:val="center"/>
        <w:rPr>
          <w:rFonts w:ascii="宋体" w:hAnsi="宋体" w:cs="宋体"/>
          <w:b/>
          <w:bCs/>
          <w:sz w:val="36"/>
          <w:szCs w:val="36"/>
        </w:rPr>
      </w:pPr>
      <w:r w:rsidRPr="00145D85">
        <w:rPr>
          <w:rFonts w:ascii="宋体" w:hAnsi="宋体" w:cs="宋体" w:hint="eastAsia"/>
          <w:b/>
          <w:bCs/>
          <w:sz w:val="36"/>
          <w:szCs w:val="36"/>
        </w:rPr>
        <w:t>资料分析练习题答案（一）</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1.【解析】C。所求为。观察发现各选项首位数字均不相同，考虑利用首数法进行求解，可知C项正确。</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2【解析】B。2013年城镇居民人均可支配收入各季度之和约为7427+6222+6520+6786≈7400+6200+6500+6800=26900（元），2012年城镇居民人均可支配收入各季度之和约为6796+5712+5918+6138≈6800+5700+5900+6100=24500（元）。两者相差2千多元，B项正确，当选。</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3．【解析】D。图中可以看出，农村居民人均现金收入最高在2013年4季度，城镇居民人均可支配收入最高在2014年1季度。D项正确，当选。</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4．【解析】C。农村居民年人均现金收入超过1万元，需要平均每季度超过2500元。观察图表，2013年各季度中，有3个季度大幅超过了2500元。而其余两个年份不能满足要求，因此C项正确。</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5.【解析】A。A项：观察图形可知2013年各季度农村居民人均现金收入均同比增加，该项说法正确，当选。</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B项：2013年4季度城镇人均可支配收入同比增速为，环比增速为，显然同比增速大于环比增速，可知该项说法错误。</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C项：2013年1季度城镇居民人均可支配收入环比增长了，可知该项说法错误。</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D项：2013年下半年农村居民人均现金收入比上半年多约（2810+3356）－（2871+1947）≈3356－1947≈1400＜2000</w:t>
      </w:r>
      <w:r w:rsidRPr="00145D85">
        <w:rPr>
          <w:rFonts w:ascii="宋体" w:hAnsi="宋体" w:cs="宋体" w:hint="eastAsia"/>
          <w:sz w:val="36"/>
          <w:szCs w:val="36"/>
        </w:rPr>
        <w:lastRenderedPageBreak/>
        <w:t>（元），可知该项说法错误。</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6．【解析】D。37864÷3.7%&gt;100（万亿元），D项正确。</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7．【解析】A。全国工业企业的税金和利润增速没有直接给出，根据资料首句中“主营业务收入37864亿元，税金1680亿元，利润2080亿元，分别增长19.1%，19.4%，26.4%，分别高出全国7.9，8.4，14.2个百分点”可以得出：全国工业企业的税金和利润增速分别为19.4%－8.4%＝11%，26.4%－14.2%＝12.2%。因此全国的税金增速比利润增速低12.2－11=1.2（个）百分点。</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8．【解析】D。根据资料，只能求出全国工业企业利润的增长率，并不能得出全国工业企业利润总额，A项无法推出。资料给出了机械行业的主营业务，但只给出了船舶行业利润增长率，没有给出船舶行业的主营业务收入，B项无法推出。资料只给出了橡胶塑料行业的利润率，C项无法推出。资料给出了百户重点企业主营业务收入、税金、利润分别增长10.2%、11.1%、20.8%，分别占全省工业的29.5%、51%、27.6%。又给出了“2013年，某省工业企业全年实现主营业务收入37864亿元，税金1680亿元，利润2080亿元”，而“利润率=利润÷（收入-利润）”，因此D项可以推出，当选。</w:t>
      </w:r>
    </w:p>
    <w:p w:rsidR="00FE0C3A" w:rsidRPr="00145D85" w:rsidRDefault="00FE0C3A" w:rsidP="00145D85">
      <w:pPr>
        <w:ind w:firstLineChars="200" w:firstLine="720"/>
        <w:rPr>
          <w:rFonts w:ascii="宋体" w:hAnsi="宋体" w:cs="宋体"/>
          <w:sz w:val="36"/>
          <w:szCs w:val="36"/>
        </w:rPr>
      </w:pPr>
      <w:r w:rsidRPr="00145D85">
        <w:rPr>
          <w:rFonts w:ascii="宋体" w:hAnsi="宋体" w:cs="宋体" w:hint="eastAsia"/>
          <w:sz w:val="36"/>
          <w:szCs w:val="36"/>
        </w:rPr>
        <w:t>9. 【解析】B。由文字资料可得，行业利润增速从高到低正确排序为：建材行业（51.6%）、石化行业（38.1%）、机械行业（23.8%），B项正确。</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10．【解析】C。A项错误，由“食品（含烟草）实现主营</w:t>
      </w:r>
      <w:r w:rsidRPr="00145D85">
        <w:rPr>
          <w:rFonts w:ascii="宋体" w:hAnsi="宋体" w:cs="宋体" w:hint="eastAsia"/>
          <w:sz w:val="36"/>
          <w:szCs w:val="36"/>
        </w:rPr>
        <w:lastRenderedPageBreak/>
        <w:t>业务收入6359亿元，增长20.8%，增速同比放缓9.2个百分点”可得，2012年该省食品（含烟草）行业主营业务收入同比增速为20.8%+9.2%＝30%。</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B项错误，2012年该省工业企业税金总额中，汽车行业所占比重为：。</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C项正确，由“建材行业实现主营业务收入2412亿元，增长27.1%；实现利润167.2亿元，增长51.6%”可知，2013年销售利润率为，2012年的销售利润率为。</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D项错误，由“石油加工业净亏损0.2亿元，同比减亏13.6亿元”可知，2012年该省石油加工业净亏损13.6+0.2=13.8（亿元）。</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11．【解析】A。东北地区副省级城市包括哈尔滨、长春、沈阳、大连，即所给四个选项。A项大连四项软件业务收入之和明显高于其他三个城市，当选。</w:t>
      </w:r>
    </w:p>
    <w:p w:rsidR="00FE0C3A" w:rsidRPr="00145D85" w:rsidRDefault="00FE0C3A" w:rsidP="00145D85">
      <w:pPr>
        <w:ind w:firstLineChars="200" w:firstLine="720"/>
        <w:rPr>
          <w:rFonts w:ascii="宋体" w:hAnsi="宋体" w:cs="宋体"/>
          <w:sz w:val="36"/>
          <w:szCs w:val="36"/>
        </w:rPr>
      </w:pPr>
      <w:r w:rsidRPr="00145D85">
        <w:rPr>
          <w:rFonts w:ascii="宋体" w:hAnsi="宋体" w:cs="宋体" w:hint="eastAsia"/>
          <w:sz w:val="36"/>
          <w:szCs w:val="36"/>
        </w:rPr>
        <w:t>12. 【解析】B。比重为（4141+2649.3+2429.5）÷13254≈9÷13≈70%，B项最接近，当选。</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13．【解析】D。D项副省级城市IC设计业务收入之和为108.6亿元，明显小于国家IC设计业务收入之和405.1亿元，当选。</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14．【解析】A。信息技术咨询服务收入同比增速最快的副省级城市是青岛，该项收入为63.26亿元；增速最慢的是哈尔滨，该项收入为3.02亿元。63.26÷3.02≈21，A项正确。</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15．【解析】B。A项错误，广州市嵌入式系统软件完成收</w:t>
      </w:r>
      <w:r w:rsidRPr="00145D85">
        <w:rPr>
          <w:rFonts w:ascii="宋体" w:hAnsi="宋体" w:cs="宋体" w:hint="eastAsia"/>
          <w:sz w:val="36"/>
          <w:szCs w:val="36"/>
        </w:rPr>
        <w:lastRenderedPageBreak/>
        <w:t>入未排进前三。</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B项正确，由表格数据可以看出，武汉市的四项业务收入增速均高于副省级城市平均水平。</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C项错误，深圳市IC设计业务收入为6.95亿元，副省级城市该项业务收入的平均水平为108.6÷15＞105÷15=7。</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D项错误，数据处理和运营服务收入最高的副省级城市是杭州，嵌入式系统软件收入最高的副省级城市是深圳。</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16．【解析】C。2013年末全国群众文化机构数量同比增长&lt;=1%，比1%略小，C项与之最接近，当选。</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17．【解析】D。月均演出场次为151300÷6022÷12≈150÷6÷12≈2（场）。</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18．【解析】A。展览、文艺活动、公益性讲座、训练班的平均每次活动参加人数分别为：。因此A项正确。</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19．【解析】B。直接相邻两年之间人均建筑面积的差值，08、09、10、11四个年份均比前一年高约20，这四个年份的增速超过了10%，B项正确。</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20．【解析】C。A项，2013年文艺活动参加人数为31379，公益性讲座参加人数为441,，错误。</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B项，由“年末群众文化机构从业人员164355人，比上年末增加8127人”可得，2012年末的人数为164355－8127&lt;160000，错误。</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C项，2013全国平均每万人群众文化设施建筑面积为249.1平方米，是2006年平均每万人群众文化设施建筑面积</w:t>
      </w:r>
      <w:r w:rsidRPr="00145D85">
        <w:rPr>
          <w:rFonts w:ascii="宋体" w:hAnsi="宋体" w:cs="宋体" w:hint="eastAsia"/>
          <w:sz w:val="36"/>
          <w:szCs w:val="36"/>
        </w:rPr>
        <w:lastRenderedPageBreak/>
        <w:t>123.5平方米的约2倍，即翻了一番，正确。</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验证D项，2013年乡镇文化站占群众文化机构总数的比重为，2012年比重为，前者明显小于后者，错误。</w:t>
      </w:r>
    </w:p>
    <w:p w:rsidR="002A75EB" w:rsidRPr="00145D85" w:rsidRDefault="002A75EB" w:rsidP="00145D85">
      <w:pPr>
        <w:ind w:firstLineChars="200" w:firstLine="720"/>
        <w:rPr>
          <w:rFonts w:ascii="宋体" w:hAnsi="宋体" w:cs="宋体"/>
          <w:sz w:val="36"/>
          <w:szCs w:val="36"/>
        </w:rPr>
      </w:pPr>
    </w:p>
    <w:p w:rsidR="002A75EB" w:rsidRPr="00145D85" w:rsidRDefault="0009696C" w:rsidP="00145D85">
      <w:pPr>
        <w:ind w:firstLineChars="200" w:firstLine="723"/>
        <w:jc w:val="center"/>
        <w:rPr>
          <w:rFonts w:ascii="宋体" w:hAnsi="宋体" w:cs="宋体"/>
          <w:b/>
          <w:bCs/>
          <w:sz w:val="36"/>
          <w:szCs w:val="36"/>
        </w:rPr>
      </w:pPr>
      <w:r w:rsidRPr="00145D85">
        <w:rPr>
          <w:rFonts w:ascii="宋体" w:hAnsi="宋体" w:cs="宋体" w:hint="eastAsia"/>
          <w:b/>
          <w:bCs/>
          <w:sz w:val="36"/>
          <w:szCs w:val="36"/>
        </w:rPr>
        <w:t>资料分析练习题答案（三）</w:t>
      </w:r>
    </w:p>
    <w:p w:rsidR="002A75EB" w:rsidRPr="00145D85" w:rsidRDefault="0009696C" w:rsidP="00145D85">
      <w:pPr>
        <w:ind w:firstLineChars="200" w:firstLine="720"/>
        <w:rPr>
          <w:rFonts w:ascii="宋体" w:hAnsi="宋体" w:cs="宋体"/>
          <w:sz w:val="36"/>
          <w:szCs w:val="36"/>
        </w:rPr>
      </w:pPr>
      <w:bookmarkStart w:id="0" w:name="_GoBack"/>
      <w:bookmarkEnd w:id="0"/>
      <w:r w:rsidRPr="00145D85">
        <w:rPr>
          <w:rFonts w:ascii="宋体" w:hAnsi="宋体" w:cs="宋体" w:hint="eastAsia"/>
          <w:sz w:val="36"/>
          <w:szCs w:val="36"/>
        </w:rPr>
        <w:t>1．【解析】C。2009年全国国道日平均交通量同比增速为，2010年同比增速为，2011年同比增速为，2012年同比增速为。比较发现，2012年分数的分子、分母相差最大，因此分数值最大。则同比增速最快的一年是2012年。</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2．【解析】B。观察图中两条折线可知，2009年全国国道与高速公路年平均拥挤度数值相差最小，该年高速公路全年日平均交通量为16837辆。</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3．【解析】D。由资料可知，全国国道网的日平均行驶量为244883万车公里，国家高速公路日平均行驶量为148742万车公里，普通国道日平均行驶量为111164万车公里，全国高速公路日平均行驶量为204717万车公里。由高到低排序是：全国国道网—全国高速公路—国家高速公路—普通国道，D项正确。</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4．【解析】C。由资料可知，2012年国家高速公路日平均交通量为22181辆，普通国道日平均交通量为10845辆，前者是后者的（倍），C项与之最接近，当选。</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5．【解析】D。A项，2009年是降低的，因此不能推出“持续增加”，排除。</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lastRenderedPageBreak/>
        <w:t>B项，北京、天津、上海、江苏、浙江、广东和山东7个省市的日平均交通量均超过2万辆，因此该项错误，排除。</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C项，2009年较2008年保持不变，没有增加，因此不能推出“持续增加”，排除。</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D项，北京、天津、河北、山西、上海、浙江、湖北和广东8个省市的年平均拥挤度均超过0.6，因此可以推出“至少有8个”，当选。</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6．【解析】C。2013年1月平均每场电影观众人次为，2月为，3月为，4月为。比较可知，3月分数的分子最小，分母第二大，因此分数值最小。则平均每场电影观众人次最少的月份是3月。</w:t>
      </w:r>
    </w:p>
    <w:p w:rsidR="002A75EB" w:rsidRPr="00145D85" w:rsidRDefault="002A75EB" w:rsidP="00145D85">
      <w:pPr>
        <w:ind w:firstLineChars="200" w:firstLine="720"/>
        <w:rPr>
          <w:rFonts w:ascii="宋体" w:hAnsi="宋体" w:cs="宋体"/>
          <w:sz w:val="36"/>
          <w:szCs w:val="36"/>
        </w:rPr>
      </w:pP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7．【解析】B。2013年第一季度，该市电影院线的总票房收入为1.47+1.54+1.34=4.35（亿元）=43500（万元），电影场次为10.91+9.79+11.07=31.77（万场次），平均每场电影的票房收入为（万元），可知B项正确。（注：“”表示介于1300与1400之间）</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8．【解析】A。2013年1月票房收入同比增量为0.19亿元，2月同比增量为0.35亿元，3月同比增量为0.46亿元，4月同比增量为0.15亿元。从高到低排序为：3月—2月—1月—4月，A项正确。</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9．【解析】B。10万=0.1百万。2012年1月平均每天观看电影的观众人次为（百万）。2月平均每天观看电影的观众</w:t>
      </w:r>
      <w:r w:rsidRPr="00145D85">
        <w:rPr>
          <w:rFonts w:ascii="宋体" w:hAnsi="宋体" w:cs="宋体" w:hint="eastAsia"/>
          <w:sz w:val="36"/>
          <w:szCs w:val="36"/>
        </w:rPr>
        <w:lastRenderedPageBreak/>
        <w:t>人次为（百万）。3月平均每天观看电影的观众人次为（百万）。4月平均每天观看电影的观众人次为（百万）。因此，超过10万人次的月份有2个。</w:t>
      </w:r>
    </w:p>
    <w:p w:rsidR="002A75EB" w:rsidRPr="00145D85" w:rsidRDefault="002A75EB" w:rsidP="00145D85">
      <w:pPr>
        <w:ind w:firstLineChars="200" w:firstLine="720"/>
        <w:rPr>
          <w:rFonts w:ascii="宋体" w:hAnsi="宋体" w:cs="宋体"/>
          <w:sz w:val="36"/>
          <w:szCs w:val="36"/>
        </w:rPr>
      </w:pP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10．【解析】D。A项，广告收入同比上升了，因此该项错误。B项，3月观众人次环比增速为负值，4月环比增速为正值，环比增速上升了，因此该项错误。C项，电影票房收入同比增速为，其他收入同比增速为，前者明显小于后者，因此该项错误。D项，电影播放场次环比增速为，同比增速为，前者明显小于后者，因此该项正确。</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11．【解析】A。2011年岗位空缺与求职人数比率为，2011年求职者人数为577.9÷（万人），则2012年求职者人数高于2011年。</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12．【解析】C。由资料可知，应届高校毕业生人数为610×24.2%×51.4%≈610×0.24×0.51≈75（万人）。</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13．【解析】D。题干要求的是第三产业需求岗位数与第二产业需求岗位数的比值大于2的城市个数。由表格可知，符合的有天津、上海、重庆、石家庄、郑州和武汉6个城市。</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14．【解析】A。推销展销人员出现过6次，A项符合题意。</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15．【解析】B。A项，外来务工人员和新成长失业青年没有包含关系，不能求出比重。B项，可先求出本市农村人数在求职者中所占的比重，再将其从外来务工人员比重（41%）中剔除，即得外埠人员在求职者中所占的比重，B项当选。C、D</w:t>
      </w:r>
      <w:r w:rsidRPr="00145D85">
        <w:rPr>
          <w:rFonts w:ascii="宋体" w:hAnsi="宋体" w:cs="宋体" w:hint="eastAsia"/>
          <w:sz w:val="36"/>
          <w:szCs w:val="36"/>
        </w:rPr>
        <w:lastRenderedPageBreak/>
        <w:t>两项均无法推出。</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16．【解析】C。由第二个表可知，2012年总上网电量同比增长，2011年同比增长，2010年同比增长，2009年同比增长。比较发现，2010年分数的分子、分母相差最大，因此分数值最大，即2010年同比增速最快。</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17．【解析】A。由第一个表可知，2012年比重比上年上升了≈27%－24%=3%，A项说法与之最接近，当选。</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18．【解析】B。由第二个表可知，2008年比重为，2009年比重为，2011年比重为，2012年比重为。很明显，2012年比重最高。（注：0.1＋表示介于0.1和0.2之间，0.2＋表示介于0.2和0.3之间）</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19．【解析】D。由第一张表可知，水电占清洁能源机组并网容量的比重为＜，只有D项中水电所占比例小于75%，当选。</w:t>
      </w:r>
    </w:p>
    <w:p w:rsidR="002A75EB" w:rsidRPr="00145D85" w:rsidRDefault="0009696C" w:rsidP="00145D85">
      <w:pPr>
        <w:ind w:firstLineChars="200" w:firstLine="720"/>
        <w:rPr>
          <w:rFonts w:ascii="宋体" w:hAnsi="宋体" w:cs="宋体"/>
          <w:sz w:val="36"/>
          <w:szCs w:val="36"/>
        </w:rPr>
      </w:pPr>
      <w:r w:rsidRPr="00145D85">
        <w:rPr>
          <w:rFonts w:ascii="宋体" w:hAnsi="宋体" w:cs="宋体" w:hint="eastAsia"/>
          <w:sz w:val="36"/>
          <w:szCs w:val="36"/>
        </w:rPr>
        <w:t>20．【解析】C。A项，2010年核电上网电量比2009年有所下降，因此该项错误。B项，，翻了3番，因此该项错误。C项，水电上网电量年均增长率为，而水电并网容量年均增长率为。很明显，前者根号内的分数大于后者根号内的分数，则前者大于后者，该项正确。D项，从2010年开始，新能源上网电量开始超过核电上网电量，该项错误。</w:t>
      </w:r>
    </w:p>
    <w:p w:rsidR="002A75EB" w:rsidRPr="00145D85" w:rsidRDefault="002A75EB" w:rsidP="00145D85">
      <w:pPr>
        <w:ind w:firstLineChars="200" w:firstLine="720"/>
        <w:rPr>
          <w:rFonts w:ascii="宋体" w:hAnsi="宋体" w:cs="宋体"/>
          <w:sz w:val="36"/>
          <w:szCs w:val="36"/>
        </w:rPr>
      </w:pPr>
    </w:p>
    <w:p w:rsidR="002A75EB" w:rsidRPr="00145D85" w:rsidRDefault="002A75EB" w:rsidP="00145D85">
      <w:pPr>
        <w:ind w:firstLineChars="200" w:firstLine="720"/>
        <w:rPr>
          <w:rFonts w:ascii="宋体" w:hAnsi="宋体" w:cs="宋体"/>
          <w:sz w:val="36"/>
          <w:szCs w:val="36"/>
        </w:rPr>
      </w:pPr>
    </w:p>
    <w:p w:rsidR="002A75EB" w:rsidRPr="00145D85" w:rsidRDefault="002A75EB" w:rsidP="00145D85">
      <w:pPr>
        <w:ind w:firstLineChars="200" w:firstLine="720"/>
        <w:rPr>
          <w:rFonts w:ascii="宋体" w:hAnsi="宋体" w:cs="宋体"/>
          <w:sz w:val="36"/>
          <w:szCs w:val="36"/>
        </w:rPr>
      </w:pPr>
    </w:p>
    <w:p w:rsidR="002A75EB" w:rsidRPr="00145D85" w:rsidRDefault="002A75EB" w:rsidP="00145D85">
      <w:pPr>
        <w:ind w:firstLineChars="200" w:firstLine="720"/>
        <w:rPr>
          <w:rFonts w:ascii="宋体" w:hAnsi="宋体" w:cs="宋体"/>
          <w:sz w:val="36"/>
          <w:szCs w:val="36"/>
        </w:rPr>
      </w:pPr>
    </w:p>
    <w:sectPr w:rsidR="002A75EB" w:rsidRPr="00145D85" w:rsidSect="002A75EB">
      <w:headerReference w:type="default" r:id="rId8"/>
      <w:footerReference w:type="default" r:id="rId9"/>
      <w:pgSz w:w="11906" w:h="16838"/>
      <w:pgMar w:top="850" w:right="1134" w:bottom="850" w:left="1134"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49FF" w:rsidRDefault="00A749FF" w:rsidP="002A75EB">
      <w:r>
        <w:separator/>
      </w:r>
    </w:p>
  </w:endnote>
  <w:endnote w:type="continuationSeparator" w:id="0">
    <w:p w:rsidR="00A749FF" w:rsidRDefault="00A749FF" w:rsidP="002A75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auto"/>
    <w:pitch w:val="default"/>
    <w:sig w:usb0="00000001" w:usb1="4000207B" w:usb2="00000000" w:usb3="00000000" w:csb0="2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EB" w:rsidRDefault="00103E3D">
    <w:pPr>
      <w:pStyle w:val="a4"/>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filled="f" stroked="f" strokeweight=".5pt">
          <v:textbox style="mso-fit-shape-to-text:t" inset="0,0,0,0">
            <w:txbxContent>
              <w:p w:rsidR="002A75EB" w:rsidRDefault="00103E3D">
                <w:pPr>
                  <w:snapToGrid w:val="0"/>
                  <w:rPr>
                    <w:sz w:val="18"/>
                  </w:rPr>
                </w:pPr>
                <w:r>
                  <w:rPr>
                    <w:rFonts w:hint="eastAsia"/>
                    <w:sz w:val="18"/>
                  </w:rPr>
                  <w:fldChar w:fldCharType="begin"/>
                </w:r>
                <w:r w:rsidR="0009696C">
                  <w:rPr>
                    <w:rFonts w:hint="eastAsia"/>
                    <w:sz w:val="18"/>
                  </w:rPr>
                  <w:instrText xml:space="preserve"> PAGE  \* MERGEFORMAT </w:instrText>
                </w:r>
                <w:r>
                  <w:rPr>
                    <w:rFonts w:hint="eastAsia"/>
                    <w:sz w:val="18"/>
                  </w:rPr>
                  <w:fldChar w:fldCharType="separate"/>
                </w:r>
                <w:r w:rsidR="00145D85">
                  <w:rPr>
                    <w:noProof/>
                    <w:sz w:val="18"/>
                  </w:rPr>
                  <w:t>4</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49FF" w:rsidRDefault="00A749FF" w:rsidP="002A75EB">
      <w:r>
        <w:separator/>
      </w:r>
    </w:p>
  </w:footnote>
  <w:footnote w:type="continuationSeparator" w:id="0">
    <w:p w:rsidR="00A749FF" w:rsidRDefault="00A749FF" w:rsidP="002A75E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75EB" w:rsidRDefault="00103E3D">
    <w:pPr>
      <w:pStyle w:val="a5"/>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1062493" o:spid="_x0000_s4097" type="#_x0000_t136" style="position:absolute;left:0;text-align:left;margin-left:0;margin-top:0;width:494.05pt;height:80.5pt;rotation:-45;z-index:-251657216;mso-position-horizontal:center;mso-position-horizontal-relative:margin;mso-position-vertical:center;mso-position-vertical-relative:margin" fillcolor="silver" stroked="f">
          <v:textpath style="font-family:&quot;楷体&quot;;font-size:80pt" trim="t" fitpath="t" string="法 之 桥 教 育"/>
          <o:lock v:ext="edit" aspectratio="t"/>
          <w10:wrap anchorx="margin" anchory="margin"/>
        </v:shape>
      </w:pict>
    </w:r>
    <w:r w:rsidR="0009696C">
      <w:rPr>
        <w:rFonts w:hint="eastAsia"/>
      </w:rPr>
      <w:t>昆明法之桥学校、领途教育</w:t>
    </w:r>
    <w:r w:rsidR="0009696C">
      <w:rPr>
        <w:rFonts w:hint="eastAsia"/>
      </w:rPr>
      <w:t xml:space="preserve">                           0871</w:t>
    </w:r>
    <w:r w:rsidR="0009696C">
      <w:rPr>
        <w:rFonts w:hint="eastAsia"/>
      </w:rPr>
      <w:t>—</w:t>
    </w:r>
    <w:r w:rsidR="0009696C">
      <w:rPr>
        <w:rFonts w:hint="eastAsia"/>
      </w:rPr>
      <w:t>65361798                           www.fazhiqiao.com</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10242">
      <o:colormenu v:ext="edit" fillcolor="#00b050"/>
    </o:shapedefaults>
    <o:shapelayout v:ext="edit">
      <o:idmap v:ext="edit" data="1,3,4"/>
    </o:shapelayout>
  </w:hdrShapeDefaults>
  <w:footnotePr>
    <w:footnote w:id="-1"/>
    <w:footnote w:id="0"/>
  </w:footnotePr>
  <w:endnotePr>
    <w:endnote w:id="-1"/>
    <w:endnote w:id="0"/>
  </w:endnotePr>
  <w:compat>
    <w:spaceForUL/>
    <w:balanceSingleByteDoubleByteWidth/>
    <w:doNotLeaveBackslashAlone/>
    <w:doNotExpandShiftReturn/>
    <w:adjustLineHeightInTable/>
    <w:doNotBreakWrappedTables/>
    <w:doNotWrapTextWithPunct/>
    <w:doNotUseEastAsianBreakRules/>
    <w:useFELayout/>
    <w:doNotUseIndentAsNumberingTabStop/>
    <w:useAltKinsokuLineBreakRules/>
  </w:compat>
  <w:rsids>
    <w:rsidRoot w:val="4D363764"/>
    <w:rsid w:val="0009696C"/>
    <w:rsid w:val="00103E3D"/>
    <w:rsid w:val="00145D85"/>
    <w:rsid w:val="001C5018"/>
    <w:rsid w:val="002A75EB"/>
    <w:rsid w:val="005E6B34"/>
    <w:rsid w:val="00A749FF"/>
    <w:rsid w:val="00C1609F"/>
    <w:rsid w:val="00F0741E"/>
    <w:rsid w:val="00FE0C3A"/>
    <w:rsid w:val="26FE7E78"/>
    <w:rsid w:val="4D363764"/>
    <w:rsid w:val="520A2761"/>
    <w:rsid w:val="648B0DEB"/>
    <w:rsid w:val="7E120C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enu v:ext="edit" fillcolor="#00b050"/>
    </o:shapedefaults>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A75EB"/>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2A75EB"/>
    <w:pPr>
      <w:shd w:val="clear" w:color="auto" w:fill="FFFFFF"/>
      <w:spacing w:before="60" w:after="180" w:line="240" w:lineRule="atLeast"/>
      <w:ind w:hanging="260"/>
      <w:jc w:val="center"/>
    </w:pPr>
    <w:rPr>
      <w:rFonts w:ascii="宋体"/>
      <w:kern w:val="0"/>
      <w:sz w:val="13"/>
      <w:szCs w:val="13"/>
    </w:rPr>
  </w:style>
  <w:style w:type="paragraph" w:styleId="a4">
    <w:name w:val="footer"/>
    <w:basedOn w:val="a"/>
    <w:qFormat/>
    <w:rsid w:val="002A75EB"/>
    <w:pPr>
      <w:tabs>
        <w:tab w:val="center" w:pos="4153"/>
        <w:tab w:val="right" w:pos="8306"/>
      </w:tabs>
      <w:snapToGrid w:val="0"/>
      <w:jc w:val="left"/>
    </w:pPr>
    <w:rPr>
      <w:sz w:val="18"/>
      <w:szCs w:val="18"/>
    </w:rPr>
  </w:style>
  <w:style w:type="paragraph" w:styleId="a5">
    <w:name w:val="header"/>
    <w:basedOn w:val="a"/>
    <w:rsid w:val="002A75EB"/>
    <w:pPr>
      <w:pBdr>
        <w:bottom w:val="single" w:sz="6" w:space="1" w:color="auto"/>
      </w:pBdr>
      <w:tabs>
        <w:tab w:val="center" w:pos="4153"/>
        <w:tab w:val="right" w:pos="8306"/>
      </w:tabs>
      <w:snapToGrid w:val="0"/>
      <w:jc w:val="center"/>
    </w:pPr>
    <w:rPr>
      <w:sz w:val="18"/>
      <w:szCs w:val="18"/>
    </w:rPr>
  </w:style>
  <w:style w:type="paragraph" w:styleId="a6">
    <w:name w:val="Normal (Web)"/>
    <w:basedOn w:val="a"/>
    <w:rsid w:val="002A75EB"/>
    <w:pPr>
      <w:widowControl/>
      <w:spacing w:before="100" w:beforeAutospacing="1" w:after="100" w:afterAutospacing="1"/>
      <w:jc w:val="left"/>
    </w:pPr>
    <w:rPr>
      <w:rFonts w:ascii="宋体" w:hAnsi="宋体" w:cs="宋体"/>
      <w:kern w:val="0"/>
      <w:sz w:val="24"/>
    </w:rPr>
  </w:style>
  <w:style w:type="character" w:styleId="a7">
    <w:name w:val="Hyperlink"/>
    <w:basedOn w:val="a0"/>
    <w:rsid w:val="002A75EB"/>
    <w:rPr>
      <w:color w:val="000080"/>
      <w:u w:val="single"/>
    </w:rPr>
  </w:style>
  <w:style w:type="character" w:customStyle="1" w:styleId="td-text-051">
    <w:name w:val="td-text-051"/>
    <w:basedOn w:val="a0"/>
    <w:rsid w:val="002A75EB"/>
    <w:rPr>
      <w:rFonts w:ascii="宋体" w:eastAsia="宋体" w:hAnsi="宋体" w:hint="eastAsia"/>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F65377B-B5DC-4CD3-B4D3-B457CE681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9</Pages>
  <Words>675</Words>
  <Characters>3848</Characters>
  <Application>Microsoft Office Word</Application>
  <DocSecurity>0</DocSecurity>
  <Lines>32</Lines>
  <Paragraphs>9</Paragraphs>
  <ScaleCrop>false</ScaleCrop>
  <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cp:revision>
  <dcterms:created xsi:type="dcterms:W3CDTF">2015-12-18T01:08:00Z</dcterms:created>
  <dcterms:modified xsi:type="dcterms:W3CDTF">2015-12-20T09:25:00Z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